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B7" w:rsidRDefault="000A12B7" w:rsidP="000A12B7">
      <w:pPr>
        <w:spacing w:line="300" w:lineRule="atLeast"/>
        <w:ind w:left="2016" w:hanging="2016"/>
        <w:jc w:val="center"/>
        <w:rPr>
          <w:rFonts w:eastAsia="Calibri"/>
          <w:b/>
          <w:szCs w:val="24"/>
        </w:rPr>
      </w:pPr>
      <w:r>
        <w:rPr>
          <w:rFonts w:eastAsia="Calibri"/>
          <w:b/>
          <w:caps/>
          <w:szCs w:val="24"/>
        </w:rPr>
        <w:t>BendroJI PARAIŠKOS DALIS</w:t>
      </w:r>
    </w:p>
    <w:p w:rsidR="000A12B7" w:rsidRPr="00E34DCC" w:rsidRDefault="000A12B7" w:rsidP="000A12B7">
      <w:pPr>
        <w:tabs>
          <w:tab w:val="left" w:pos="851"/>
          <w:tab w:val="left" w:pos="993"/>
        </w:tabs>
        <w:spacing w:line="300" w:lineRule="atLeast"/>
        <w:jc w:val="both"/>
        <w:rPr>
          <w:sz w:val="18"/>
          <w:szCs w:val="18"/>
        </w:rPr>
      </w:pPr>
    </w:p>
    <w:p w:rsidR="000A12B7" w:rsidRPr="002C7F32" w:rsidRDefault="000A12B7" w:rsidP="000A12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rFonts w:eastAsia="Calibri"/>
          <w:szCs w:val="24"/>
          <w:lang w:eastAsia="lt-LT"/>
        </w:rPr>
        <w:t xml:space="preserve">18.1. </w:t>
      </w:r>
      <w:r w:rsidRPr="002C7F32">
        <w:rPr>
          <w:rFonts w:eastAsia="Calibri"/>
          <w:b/>
          <w:szCs w:val="24"/>
          <w:lang w:eastAsia="lt-LT"/>
        </w:rPr>
        <w:t>veiklos vykdytojo pavadinimas, juridinio asmens kodas, buveinės adresas, kontaktinio asmens duomenys, ūkinės veiklos objekto pavadinimas ir adresas;</w:t>
      </w:r>
      <w:r w:rsidRPr="002C7F32">
        <w:rPr>
          <w:b/>
        </w:rPr>
        <w:t xml:space="preserve"> </w:t>
      </w:r>
    </w:p>
    <w:p w:rsidR="000A12B7" w:rsidRDefault="000A12B7" w:rsidP="000A12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F32" w:rsidRDefault="000A12B7" w:rsidP="000A12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rPr>
      </w:pPr>
      <w:r w:rsidRPr="002C7F32">
        <w:rPr>
          <w:u w:val="single"/>
        </w:rPr>
        <w:t>UAB ,,KRONUS LT“, įm.k. 302507749, Motorų g. 3, Vilnius, direktorius Aleksandr Kondrackas tel. Nr. +370 5 2333170, el p.</w:t>
      </w:r>
    </w:p>
    <w:p w:rsidR="000A12B7" w:rsidRPr="002C7F32" w:rsidRDefault="000A12B7" w:rsidP="000A12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u w:val="single"/>
        </w:rPr>
      </w:pPr>
      <w:r w:rsidRPr="002C7F32">
        <w:rPr>
          <w:u w:val="single"/>
        </w:rPr>
        <w:t xml:space="preserve"> </w:t>
      </w:r>
      <w:r w:rsidR="002C7F32" w:rsidRPr="002C7F32">
        <w:rPr>
          <w:u w:val="single"/>
        </w:rPr>
        <w:t xml:space="preserve">el. p.: </w:t>
      </w:r>
      <w:hyperlink r:id="rId4" w:history="1">
        <w:r w:rsidR="002C7F32" w:rsidRPr="002C7F32">
          <w:rPr>
            <w:rStyle w:val="Hyperlink"/>
          </w:rPr>
          <w:t>aleksandr.kondrackas</w:t>
        </w:r>
        <w:r w:rsidR="002C7F32" w:rsidRPr="00970043">
          <w:rPr>
            <w:rStyle w:val="Hyperlink"/>
          </w:rPr>
          <w:t>@kronus.eu</w:t>
        </w:r>
      </w:hyperlink>
      <w:r w:rsidR="002C7F32" w:rsidRPr="00970043">
        <w:rPr>
          <w:rStyle w:val="Hyperlink"/>
        </w:rPr>
        <w:t xml:space="preserve">, </w:t>
      </w:r>
      <w:r w:rsidR="00FD7711">
        <w:rPr>
          <w:u w:val="single"/>
        </w:rPr>
        <w:t xml:space="preserve">Medienos </w:t>
      </w:r>
      <w:r w:rsidR="002C7F32" w:rsidRPr="002C7F32">
        <w:rPr>
          <w:u w:val="single"/>
        </w:rPr>
        <w:t>atliekų tvarkymo įrenginys, Motorų g. 3, Vilnius</w:t>
      </w:r>
    </w:p>
    <w:p w:rsidR="000A12B7" w:rsidRDefault="000A12B7" w:rsidP="000A12B7">
      <w:pPr>
        <w:tabs>
          <w:tab w:val="left" w:pos="4920"/>
        </w:tabs>
      </w:pPr>
      <w:r>
        <w:tab/>
      </w:r>
    </w:p>
    <w:p w:rsidR="000A12B7" w:rsidRPr="002C7F32" w:rsidRDefault="000A12B7" w:rsidP="002C7F3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rFonts w:eastAsia="Calibri"/>
          <w:szCs w:val="24"/>
          <w:lang w:eastAsia="lt-LT"/>
        </w:rPr>
        <w:t xml:space="preserve">18.2. </w:t>
      </w:r>
      <w:r w:rsidR="002C7F32" w:rsidRPr="002C7F32">
        <w:rPr>
          <w:rFonts w:eastAsia="Calibri"/>
          <w:b/>
          <w:szCs w:val="24"/>
          <w:lang w:eastAsia="lt-LT"/>
        </w:rPr>
        <w:t>T</w:t>
      </w:r>
      <w:r w:rsidRPr="002C7F32">
        <w:rPr>
          <w:rFonts w:eastAsia="Calibri"/>
          <w:b/>
          <w:szCs w:val="24"/>
          <w:lang w:eastAsia="lt-LT"/>
        </w:rPr>
        <w:t>rumpa aprašomojo pobūdžio informacija apie visus toje vietoje (ar keliose vietose, jei leidimo prašoma vienos savivaldybės teritorijoje esantiems keliems įrenginiams) to paties veiklos vykdytojo eks</w:t>
      </w:r>
      <w:bookmarkStart w:id="0" w:name="_GoBack"/>
      <w:bookmarkEnd w:id="0"/>
      <w:r w:rsidRPr="002C7F32">
        <w:rPr>
          <w:rFonts w:eastAsia="Calibri"/>
          <w:b/>
          <w:szCs w:val="24"/>
          <w:lang w:eastAsia="lt-LT"/>
        </w:rPr>
        <w:t>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r w:rsidRPr="002C7F32">
        <w:rPr>
          <w:b/>
        </w:rPr>
        <w:t xml:space="preserve"> </w:t>
      </w:r>
    </w:p>
    <w:p w:rsidR="002C7F32" w:rsidRDefault="002C7F32" w:rsidP="002C7F3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4628B" w:rsidRPr="00B4628B" w:rsidRDefault="00FD7711" w:rsidP="00995BEE">
      <w:pPr>
        <w:widowControl w:val="0"/>
        <w:tabs>
          <w:tab w:val="left" w:pos="1260"/>
        </w:tabs>
        <w:ind w:firstLine="567"/>
        <w:jc w:val="both"/>
      </w:pPr>
      <w:r>
        <w:t>Med</w:t>
      </w:r>
      <w:r w:rsidR="00B4628B" w:rsidRPr="00AC590C">
        <w:t>i</w:t>
      </w:r>
      <w:r>
        <w:t>enos</w:t>
      </w:r>
      <w:r w:rsidR="00B4628B" w:rsidRPr="00AC590C">
        <w:t xml:space="preserve"> atliekų tvarkymo įrenginio veikla vykdoma sandėliavimo paskirties pastate, kurio unikalus numeris 4400-2333-3348, pastato bendras plotas 886,41 kv.m. Atliekų tvarkymo veiklą planuojama vykdyti 50 kv.m. pastato dalyje. Pastatas yra žemės sklype, kurio unikalus </w:t>
      </w:r>
      <w:r>
        <w:t xml:space="preserve">numeris 0101-0079-1620. Medines </w:t>
      </w:r>
      <w:r w:rsidR="00B4628B" w:rsidRPr="00AC590C">
        <w:t xml:space="preserve">atliekas skirtas tvarkymui, numatoma laikyti </w:t>
      </w:r>
      <w:r w:rsidR="00D57E78" w:rsidRPr="00AC590C">
        <w:t>4745</w:t>
      </w:r>
      <w:r w:rsidR="00B4628B" w:rsidRPr="00AC590C">
        <w:t xml:space="preserve"> kv.m. nuomojamo sklypo dalyje. Veiklos schema su pažymėta atliekų laikymo </w:t>
      </w:r>
      <w:r w:rsidR="00AC1446" w:rsidRPr="00AC590C">
        <w:t>vieta pateikta Atliekų naudojimo ir šalinimo techniniame reglamento priede. Pastatas ir žemės sklypas yra nuomojami, nuomos sutartis pateikta paraiškos prieduose. Žemės sklypo kuriame planuojama veikla, pagrindinė tikslinė naudojimo paskirtis – kita; ūkinės veiklos būdas – administraciniam, gamybiniams ir sandėlio statiniams eksploatuoti.</w:t>
      </w:r>
      <w:r w:rsidR="00AC1446">
        <w:t xml:space="preserve"> </w:t>
      </w:r>
    </w:p>
    <w:p w:rsidR="009F2031" w:rsidRPr="00970043" w:rsidRDefault="00FD7711" w:rsidP="00995BEE">
      <w:pPr>
        <w:widowControl w:val="0"/>
        <w:tabs>
          <w:tab w:val="left" w:pos="1260"/>
        </w:tabs>
        <w:ind w:firstLine="567"/>
        <w:jc w:val="both"/>
      </w:pPr>
      <w:r>
        <w:t xml:space="preserve">Įmonė užsiima medienos </w:t>
      </w:r>
      <w:r w:rsidR="009F2031" w:rsidRPr="00970043">
        <w:t>atliekų tvarkymu ir pe</w:t>
      </w:r>
      <w:r>
        <w:t>r</w:t>
      </w:r>
      <w:r w:rsidR="009F2031" w:rsidRPr="00970043">
        <w:t xml:space="preserve">dirbimu. Mediniai padėklai atvežami iš prekybos įmonių, pasveriami ant metrologiškai patikrintų svarstyklių, išrašomi reikiami dokumentai. Atgabenti padėklai rankiniu būdu yra išrūšiuojami į tinkamus tolimesniam naudojimui padėklus ir padėklus, kuriuos būtina remontuoti. Tinkamos tolimesniam naudojimui padėklai bus parduodami. Rūšiuojant padėklus, nuo jų rankiniu būdu atskiriamos plastikinės, popierinės atliekos. Padėklus, kuriuos reikia remontuoti, remontuojami patalpoje, atskiriant ir pakeičiant sulūžusias dalis, juos sutvirtinant. Suremontuoti padėklai paruošiami pakartotiniam naudojimui. </w:t>
      </w:r>
    </w:p>
    <w:p w:rsidR="009F2031" w:rsidRPr="00970043" w:rsidRDefault="009F2031" w:rsidP="00995BEE">
      <w:pPr>
        <w:widowControl w:val="0"/>
        <w:tabs>
          <w:tab w:val="left" w:pos="1260"/>
        </w:tabs>
        <w:ind w:firstLine="567"/>
        <w:jc w:val="both"/>
      </w:pPr>
      <w:r w:rsidRPr="00970043">
        <w:t>Susidariusios atliekos rūšiuojamos ir laikomos tam skirtose vietose. Atliekų tvarkymo veiklos schema pateikta Atliekų naudojimo ar šalinimo techninio reglamento priede.</w:t>
      </w:r>
    </w:p>
    <w:p w:rsidR="009F2031" w:rsidRPr="00970043" w:rsidRDefault="009F2031" w:rsidP="00995BEE">
      <w:pPr>
        <w:jc w:val="both"/>
      </w:pPr>
      <w:r w:rsidRPr="00970043">
        <w:t>Atrūšiuoti netinkami tolimesniam naudojimui</w:t>
      </w:r>
      <w:r w:rsidR="000D5B54" w:rsidRPr="00970043">
        <w:t>, arba priimti padėklai skirti tik sunaikinti</w:t>
      </w:r>
      <w:r w:rsidRPr="00970043">
        <w:t xml:space="preserve"> </w:t>
      </w:r>
      <w:r w:rsidR="000D5B54" w:rsidRPr="00970043">
        <w:t>kartu su medienos atliekomis</w:t>
      </w:r>
      <w:r w:rsidRPr="00970043">
        <w:t xml:space="preserve"> (sulaužytos padėklų lentos ir (ar) kaladėlės) likusios po padėklų remonto yra sandėliuojamo teritorijoje po atviru dangumi iki kol susikaups reikiamas kiekis, ir bus </w:t>
      </w:r>
      <w:r w:rsidR="000D5B54" w:rsidRPr="00970043">
        <w:t xml:space="preserve">panaudotos (veiklos kodas </w:t>
      </w:r>
      <w:r w:rsidR="000D5B54" w:rsidRPr="00970043">
        <w:rPr>
          <w:rFonts w:eastAsia="Calibri"/>
          <w:b/>
          <w:sz w:val="22"/>
          <w:szCs w:val="22"/>
        </w:rPr>
        <w:t xml:space="preserve">R3 </w:t>
      </w:r>
      <w:r w:rsidR="000D5B54" w:rsidRPr="00970043">
        <w:rPr>
          <w:rFonts w:eastAsia="Calibri"/>
          <w:sz w:val="22"/>
          <w:szCs w:val="22"/>
        </w:rPr>
        <w:t>–</w:t>
      </w:r>
      <w:r w:rsidR="000D5B54" w:rsidRPr="00970043">
        <w:rPr>
          <w:rFonts w:eastAsia="Calibri"/>
          <w:b/>
          <w:sz w:val="22"/>
          <w:szCs w:val="22"/>
        </w:rPr>
        <w:t xml:space="preserve"> </w:t>
      </w:r>
      <w:r w:rsidR="000D5B54" w:rsidRPr="00970043">
        <w:rPr>
          <w:rFonts w:eastAsia="Calibri"/>
          <w:sz w:val="22"/>
          <w:szCs w:val="22"/>
        </w:rPr>
        <w:t xml:space="preserve">Organinių medžiagų, nenaudojamų kaip tirpikliai, perdirbimas ir (arba) atnaujinimas </w:t>
      </w:r>
      <w:r w:rsidR="000D5B54" w:rsidRPr="00970043">
        <w:rPr>
          <w:rFonts w:eastAsia="Calibri"/>
          <w:sz w:val="22"/>
          <w:szCs w:val="22"/>
        </w:rPr>
        <w:lastRenderedPageBreak/>
        <w:t>(įskaitant kompostavimą ir kitus biologinio pakeitimo procesus);</w:t>
      </w:r>
      <w:r w:rsidRPr="00970043">
        <w:t xml:space="preserve"> (sumaltos) į skiedrą ir parduotos kaip biokuras, kurą deginančioms ar platinančioms įmonėms.</w:t>
      </w:r>
    </w:p>
    <w:p w:rsidR="000A12B7" w:rsidRDefault="0096070B" w:rsidP="00AC1446">
      <w:pPr>
        <w:ind w:firstLine="567"/>
        <w:jc w:val="both"/>
      </w:pPr>
      <w:r w:rsidRPr="00970043">
        <w:t>Įmonė taršos šaltinių neturi. Mūsų vykdomai veiklai, Medinių atliekų tvarkymo įrenginiui Poveikio aplikai vertinimo procedūros netaikomos, kadangi yra taikoma išimtis, nurodyta Lietuvos Respublikos Poveikio aplinkai vertinimo įstatymo</w:t>
      </w:r>
      <w:r w:rsidR="00995BEE" w:rsidRPr="00970043">
        <w:t xml:space="preserve"> 2 priedo</w:t>
      </w:r>
      <w:r w:rsidRPr="00970043">
        <w:t xml:space="preserve"> 11.5 p., kadangi bus vykdoma veikla, vadovaujantis Atliekų tvarkymo taisyklių </w:t>
      </w:r>
      <w:r w:rsidR="00995BEE" w:rsidRPr="00970043">
        <w:t>4</w:t>
      </w:r>
      <w:r w:rsidRPr="00970043">
        <w:t xml:space="preserve"> priedo 2 lentele </w:t>
      </w:r>
      <w:r w:rsidRPr="00970043">
        <w:rPr>
          <w:b/>
        </w:rPr>
        <w:t>R10</w:t>
      </w:r>
      <w:r w:rsidRPr="00970043">
        <w:rPr>
          <w:b/>
          <w:vertAlign w:val="superscript"/>
        </w:rPr>
        <w:t>1</w:t>
      </w:r>
      <w:r w:rsidRPr="00970043">
        <w:t>- paruošimas naudoti pakartotinai.</w:t>
      </w:r>
    </w:p>
    <w:p w:rsidR="00AC1446" w:rsidRDefault="00AC1446" w:rsidP="00995BEE">
      <w:pPr>
        <w:jc w:val="both"/>
      </w:pPr>
      <w:r>
        <w:tab/>
      </w:r>
      <w:r w:rsidRPr="00AC590C">
        <w:t>Patalpos, kuriuose vykdoma padėklų remonto veikla, nešildomos, kūrą deginančių įrenginių nėra. Vanduo atliekų tvarkymo veikloje nenaudojamas, gamybinės nuotekos nesusidaro. Darbuotojai naudojasi pastate esančiais sanitariniais mazgais, iš kurių nuotekos nuvedamos į centralizuotus miesto nuotekų tiklus.</w:t>
      </w:r>
    </w:p>
    <w:p w:rsidR="002C7F32" w:rsidRDefault="002C7F32" w:rsidP="000A12B7"/>
    <w:p w:rsidR="000A12B7" w:rsidRDefault="000A12B7" w:rsidP="000A12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Pr>
          <w:rFonts w:eastAsia="Calibri"/>
          <w:szCs w:val="24"/>
          <w:lang w:eastAsia="lt-LT"/>
        </w:rPr>
        <w:t>18.3</w:t>
      </w:r>
      <w:r w:rsidRPr="0096070B">
        <w:rPr>
          <w:rFonts w:eastAsia="Calibri"/>
          <w:szCs w:val="24"/>
          <w:lang w:eastAsia="lt-LT"/>
        </w:rPr>
        <w:t xml:space="preserve">. </w:t>
      </w:r>
      <w:r w:rsidRPr="0096070B">
        <w:rPr>
          <w:rFonts w:eastAsia="Calibri"/>
          <w:b/>
          <w:szCs w:val="24"/>
          <w:lang w:eastAsia="lt-LT"/>
        </w:rPr>
        <w:t xml:space="preserve">įrenginio eksploatavimo vietos sąlygos (aplinkos elementų, į kuriuos bus išmetami (išleidžiami) teršalai foninis užterštumo lygis </w:t>
      </w:r>
      <w:r w:rsidRPr="0096070B">
        <w:rPr>
          <w:rFonts w:eastAsia="Calibri"/>
          <w:b/>
          <w:bCs/>
          <w:szCs w:val="24"/>
          <w:lang w:eastAsia="lt-LT"/>
        </w:rPr>
        <w:t>pagal atskirus iš įrenginio veiklos vykdymo metu išmetamus (išleidžiamus) teršalus,</w:t>
      </w:r>
      <w:r w:rsidRPr="0096070B">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r>
        <w:t xml:space="preserve"> </w:t>
      </w:r>
    </w:p>
    <w:p w:rsidR="000A12B7" w:rsidRDefault="000A12B7" w:rsidP="000A12B7"/>
    <w:p w:rsidR="0096070B" w:rsidRDefault="0096070B" w:rsidP="00B777C9">
      <w:pPr>
        <w:ind w:firstLine="567"/>
      </w:pPr>
      <w:r>
        <w:t xml:space="preserve">Aplinkos foninis užterštumo lygis nėra matuojamas, kadangi Medinių atliekų tvarkymo įrenginio teritorija iš abejų pusių yra supama </w:t>
      </w:r>
      <w:r w:rsidR="00B777C9">
        <w:t>intensyvaus eismo kelių. Pats įrenginys yra pramonės zonoje.</w:t>
      </w:r>
    </w:p>
    <w:p w:rsidR="00B777C9" w:rsidRDefault="00B777C9" w:rsidP="000A12B7"/>
    <w:p w:rsidR="000A12B7" w:rsidRDefault="000A12B7" w:rsidP="000A12B7">
      <w:pPr>
        <w:spacing w:line="300" w:lineRule="atLeast"/>
        <w:ind w:firstLine="567"/>
        <w:jc w:val="both"/>
        <w:rPr>
          <w:rFonts w:eastAsia="Calibri"/>
          <w:szCs w:val="24"/>
        </w:rPr>
      </w:pPr>
      <w:r>
        <w:rPr>
          <w:rFonts w:eastAsia="Calibri"/>
          <w:szCs w:val="24"/>
        </w:rPr>
        <w:t>18.5.</w:t>
      </w:r>
      <w:r>
        <w:rPr>
          <w:rFonts w:eastAsia="Calibri"/>
          <w:szCs w:val="24"/>
        </w:rPr>
        <w:tab/>
      </w:r>
      <w:r w:rsidRPr="0096070B">
        <w:rPr>
          <w:rFonts w:eastAsia="Calibri"/>
          <w:b/>
          <w:szCs w:val="24"/>
        </w:rPr>
        <w:t>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r>
        <w:rPr>
          <w:rFonts w:eastAsia="Calibri"/>
          <w:szCs w:val="24"/>
        </w:rPr>
        <w:t xml:space="preserve"> </w:t>
      </w:r>
    </w:p>
    <w:p w:rsidR="00B777C9" w:rsidRDefault="00B777C9" w:rsidP="000A12B7">
      <w:pPr>
        <w:spacing w:line="300" w:lineRule="atLeast"/>
        <w:ind w:firstLine="567"/>
        <w:jc w:val="both"/>
        <w:rPr>
          <w:rFonts w:eastAsia="Calibri"/>
          <w:szCs w:val="24"/>
        </w:rPr>
      </w:pPr>
    </w:p>
    <w:p w:rsidR="0096070B" w:rsidRDefault="0096070B" w:rsidP="000A12B7">
      <w:pPr>
        <w:spacing w:line="300" w:lineRule="atLeast"/>
        <w:ind w:firstLine="567"/>
        <w:jc w:val="both"/>
        <w:rPr>
          <w:rFonts w:eastAsia="Calibri"/>
          <w:szCs w:val="24"/>
        </w:rPr>
      </w:pPr>
      <w:r>
        <w:rPr>
          <w:rFonts w:eastAsia="Calibri"/>
          <w:szCs w:val="24"/>
        </w:rPr>
        <w:t>Įmonėje yra laikomas pakankamas kiekis sorbento (pjuvenų) tam atvejui, jeigu iš atvažiuojančių tran</w:t>
      </w:r>
      <w:r w:rsidR="00B777C9">
        <w:rPr>
          <w:rFonts w:eastAsia="Calibri"/>
          <w:szCs w:val="24"/>
        </w:rPr>
        <w:t>sporto priemonių išsiliejusiam  kurui surinkti</w:t>
      </w:r>
      <w:r>
        <w:rPr>
          <w:rFonts w:eastAsia="Calibri"/>
          <w:szCs w:val="24"/>
        </w:rPr>
        <w:t>.</w:t>
      </w:r>
    </w:p>
    <w:p w:rsidR="00B777C9" w:rsidRDefault="00B777C9" w:rsidP="000A12B7">
      <w:pPr>
        <w:spacing w:line="300" w:lineRule="atLeast"/>
        <w:ind w:firstLine="567"/>
        <w:jc w:val="both"/>
        <w:rPr>
          <w:rFonts w:eastAsia="Calibri"/>
          <w:szCs w:val="24"/>
        </w:rPr>
      </w:pPr>
    </w:p>
    <w:p w:rsidR="000A12B7" w:rsidRDefault="000A12B7" w:rsidP="000A12B7">
      <w:pPr>
        <w:tabs>
          <w:tab w:val="left" w:pos="0"/>
        </w:tabs>
        <w:spacing w:line="300" w:lineRule="atLeast"/>
        <w:ind w:firstLine="567"/>
        <w:jc w:val="both"/>
        <w:rPr>
          <w:szCs w:val="24"/>
        </w:rPr>
      </w:pPr>
      <w:r>
        <w:rPr>
          <w:szCs w:val="24"/>
        </w:rPr>
        <w:t>18.6.</w:t>
      </w:r>
      <w:r>
        <w:rPr>
          <w:szCs w:val="24"/>
        </w:rPr>
        <w:tab/>
      </w:r>
      <w:r w:rsidRPr="0096070B">
        <w:rPr>
          <w:b/>
          <w:szCs w:val="24"/>
        </w:rPr>
        <w:t>planuojamų naudoti žaliavų ir pagalbinių medžiagų, įskaitant chemines medžiagas ir preparatus bei kurą, sąrašai, jų kiekis, rizikos/pavojaus bei saugumo/atsargumo frazės, saugos duomenų lapai;</w:t>
      </w:r>
    </w:p>
    <w:p w:rsidR="00970043" w:rsidRDefault="00970043" w:rsidP="00970043">
      <w:pPr>
        <w:ind w:firstLine="567"/>
        <w:jc w:val="both"/>
        <w:rPr>
          <w:color w:val="000000"/>
        </w:rPr>
      </w:pPr>
    </w:p>
    <w:p w:rsidR="00970043" w:rsidRPr="00970043" w:rsidRDefault="00970043" w:rsidP="00970043">
      <w:pPr>
        <w:ind w:firstLine="567"/>
        <w:jc w:val="both"/>
        <w:rPr>
          <w:color w:val="000000"/>
        </w:rPr>
      </w:pPr>
      <w:r>
        <w:rPr>
          <w:color w:val="000000"/>
        </w:rPr>
        <w:t>Kadangi cheminės medžiagos med</w:t>
      </w:r>
      <w:r w:rsidR="00FD7711">
        <w:rPr>
          <w:color w:val="000000"/>
        </w:rPr>
        <w:t>inių atliekų tvarkymo į</w:t>
      </w:r>
      <w:r>
        <w:rPr>
          <w:color w:val="000000"/>
        </w:rPr>
        <w:t>renginyje nebus naudojamos, šiš punktas nėra pildomas.</w:t>
      </w:r>
    </w:p>
    <w:p w:rsidR="00970043" w:rsidRDefault="00970043" w:rsidP="00970043">
      <w:pPr>
        <w:ind w:firstLine="567"/>
        <w:jc w:val="both"/>
        <w:rPr>
          <w:color w:val="000000"/>
        </w:rPr>
      </w:pPr>
    </w:p>
    <w:p w:rsidR="00970043" w:rsidRDefault="00970043" w:rsidP="00970043">
      <w:pPr>
        <w:ind w:firstLine="567"/>
        <w:jc w:val="both"/>
        <w:rPr>
          <w:b/>
          <w:color w:val="000000"/>
        </w:rPr>
      </w:pPr>
      <w:r>
        <w:rPr>
          <w:color w:val="000000"/>
        </w:rPr>
        <w:t xml:space="preserve">18.7. </w:t>
      </w:r>
      <w:r w:rsidRPr="00970043">
        <w:rPr>
          <w:b/>
          <w:color w:val="000000"/>
        </w:rPr>
        <w:t>įrenginyje numatytos (naudojamos) atliekų susidarymo prevencijos priemonės (taikoma ne atliekas tvarkančioms įmonėms);</w:t>
      </w:r>
    </w:p>
    <w:p w:rsidR="00970043" w:rsidRDefault="00970043" w:rsidP="00970043">
      <w:pPr>
        <w:ind w:firstLine="567"/>
        <w:jc w:val="both"/>
        <w:rPr>
          <w:color w:val="000000"/>
        </w:rPr>
      </w:pPr>
    </w:p>
    <w:p w:rsidR="00970043" w:rsidRPr="00970043" w:rsidRDefault="00970043" w:rsidP="00970043">
      <w:pPr>
        <w:ind w:firstLine="567"/>
        <w:jc w:val="both"/>
        <w:rPr>
          <w:color w:val="000000"/>
        </w:rPr>
      </w:pPr>
      <w:r w:rsidRPr="00970043">
        <w:rPr>
          <w:color w:val="000000"/>
        </w:rPr>
        <w:lastRenderedPageBreak/>
        <w:t>Kadangi įmonė yra atliekas tvarkanti įmonė, šiš punktas nėra pildomas.</w:t>
      </w:r>
    </w:p>
    <w:p w:rsidR="00970043" w:rsidRDefault="00970043" w:rsidP="00970043">
      <w:pPr>
        <w:rPr>
          <w:color w:val="000000"/>
        </w:rPr>
      </w:pPr>
      <w:r>
        <w:rPr>
          <w:color w:val="000000"/>
        </w:rPr>
        <w:t> </w:t>
      </w:r>
    </w:p>
    <w:p w:rsidR="00970043" w:rsidRDefault="00970043" w:rsidP="00970043">
      <w:pPr>
        <w:ind w:firstLine="567"/>
        <w:jc w:val="both"/>
        <w:rPr>
          <w:color w:val="000000"/>
        </w:rPr>
      </w:pPr>
      <w:bookmarkStart w:id="1" w:name="part_324c26e2bc324629bbf5bd06fc1ec67b"/>
      <w:bookmarkEnd w:id="1"/>
      <w:r>
        <w:rPr>
          <w:color w:val="000000"/>
        </w:rPr>
        <w:t xml:space="preserve">18.8. </w:t>
      </w:r>
      <w:r w:rsidRPr="00970043">
        <w:rPr>
          <w:b/>
          <w:color w:val="000000"/>
        </w:rPr>
        <w:t>planuojami naudoti vandens šaltiniai, vandens poreikis, nuotekų tvarkymo būdai. Ši informacija neteikiama, jei yra pateikta specialiosiose paraiškos dalyse „Nuotekų tvarkymas ir išleidimas“ ir (ar) „Vandens išgavimas iš paviršinių vandens telkinių“.</w:t>
      </w:r>
    </w:p>
    <w:p w:rsidR="000A12B7" w:rsidRDefault="000A12B7" w:rsidP="000A12B7">
      <w:pPr>
        <w:rPr>
          <w:sz w:val="18"/>
          <w:szCs w:val="18"/>
        </w:rPr>
      </w:pPr>
    </w:p>
    <w:p w:rsidR="00970043" w:rsidRPr="00AC590C" w:rsidRDefault="00970043" w:rsidP="000A12B7">
      <w:pPr>
        <w:rPr>
          <w:color w:val="000000"/>
        </w:rPr>
      </w:pPr>
      <w:r>
        <w:rPr>
          <w:sz w:val="18"/>
          <w:szCs w:val="18"/>
        </w:rPr>
        <w:tab/>
      </w:r>
      <w:r w:rsidR="00FD7711">
        <w:rPr>
          <w:color w:val="000000"/>
        </w:rPr>
        <w:t xml:space="preserve">Medienos </w:t>
      </w:r>
      <w:r w:rsidR="00AC1446" w:rsidRPr="00AC590C">
        <w:rPr>
          <w:color w:val="000000"/>
        </w:rPr>
        <w:t xml:space="preserve">atliekų tvarkymo įrenginyje atliekų atliekų tvarkymo veikloje vanduo nebus naudojamas, nuotekos nesusidarys. </w:t>
      </w:r>
    </w:p>
    <w:p w:rsidR="00AC1446" w:rsidRPr="00AC590C" w:rsidRDefault="00AC1446" w:rsidP="000A12B7">
      <w:pPr>
        <w:rPr>
          <w:color w:val="000000"/>
        </w:rPr>
      </w:pPr>
      <w:r w:rsidRPr="00AC590C">
        <w:rPr>
          <w:color w:val="000000"/>
        </w:rPr>
        <w:tab/>
        <w:t xml:space="preserve">Darbuotojų higieninių poreikių tenkinimui yra įrengtas </w:t>
      </w:r>
      <w:r w:rsidR="004E2D00" w:rsidRPr="00AC590C">
        <w:rPr>
          <w:color w:val="000000"/>
        </w:rPr>
        <w:t>dušas ir tualetas su rezervuaru. Darbuotojai naudojasi pastate esančiais sanitariniais mazgais, iš kurių nuotekos nuvedamos į centralizuotus miesto nuotekų tinklus.</w:t>
      </w:r>
    </w:p>
    <w:p w:rsidR="004E2D00" w:rsidRPr="00AC590C" w:rsidRDefault="004E2D00" w:rsidP="000A12B7">
      <w:pPr>
        <w:rPr>
          <w:sz w:val="18"/>
          <w:szCs w:val="18"/>
        </w:rPr>
      </w:pPr>
      <w:r w:rsidRPr="00AC590C">
        <w:rPr>
          <w:color w:val="000000"/>
        </w:rPr>
        <w:tab/>
        <w:t>Teritorijoje yra įrengta nelaidi skysčiams asfalto danga. Susidariusios paviršynės nuotekos nuvedamos į miesto paviršinių nuotekų tinklus, kuriuos eksploatuoja UAB ,,Grinda“. Paraiškos  prieduose pateikta sutarties su UAB „Grinda“ kopija.</w:t>
      </w:r>
    </w:p>
    <w:p w:rsidR="000A12B7" w:rsidRPr="00AC590C" w:rsidRDefault="000A12B7" w:rsidP="000A12B7">
      <w:pPr>
        <w:rPr>
          <w:sz w:val="18"/>
          <w:szCs w:val="18"/>
        </w:rPr>
      </w:pPr>
    </w:p>
    <w:p w:rsidR="000A12B7" w:rsidRPr="00AC590C" w:rsidRDefault="000A12B7" w:rsidP="000A12B7">
      <w:pPr>
        <w:rPr>
          <w:sz w:val="18"/>
          <w:szCs w:val="18"/>
        </w:rPr>
      </w:pPr>
    </w:p>
    <w:p w:rsidR="000A12B7" w:rsidRPr="00AC590C" w:rsidRDefault="000A12B7" w:rsidP="000A12B7">
      <w:pPr>
        <w:spacing w:line="300" w:lineRule="atLeast"/>
        <w:ind w:firstLine="312"/>
        <w:jc w:val="both"/>
        <w:rPr>
          <w:szCs w:val="24"/>
        </w:rPr>
      </w:pPr>
      <w:r w:rsidRPr="00AC590C">
        <w:rPr>
          <w:b/>
          <w:szCs w:val="24"/>
        </w:rPr>
        <w:t xml:space="preserve">1 lentelė. </w:t>
      </w:r>
      <w:r w:rsidRPr="00AC590C">
        <w:rPr>
          <w:szCs w:val="24"/>
        </w:rPr>
        <w:t xml:space="preserve">Įrenginyje naudojamos žaliavos, kuras ir papildomos medžiagos </w:t>
      </w:r>
    </w:p>
    <w:p w:rsidR="000A12B7" w:rsidRPr="00AC590C" w:rsidRDefault="000A12B7" w:rsidP="0096070B">
      <w:pPr>
        <w:spacing w:line="300" w:lineRule="atLeast"/>
        <w:jc w:val="both"/>
        <w:rPr>
          <w:b/>
          <w:szCs w:val="24"/>
        </w:rPr>
      </w:pPr>
    </w:p>
    <w:tbl>
      <w:tblPr>
        <w:tblStyle w:val="TableGrid"/>
        <w:tblW w:w="0" w:type="auto"/>
        <w:jc w:val="center"/>
        <w:tblLook w:val="04A0" w:firstRow="1" w:lastRow="0" w:firstColumn="1" w:lastColumn="0" w:noHBand="0" w:noVBand="1"/>
      </w:tblPr>
      <w:tblGrid>
        <w:gridCol w:w="1101"/>
        <w:gridCol w:w="3827"/>
        <w:gridCol w:w="2551"/>
        <w:gridCol w:w="5697"/>
      </w:tblGrid>
      <w:tr w:rsidR="004E2D00" w:rsidRPr="00AC590C" w:rsidTr="00457A47">
        <w:trPr>
          <w:jc w:val="center"/>
        </w:trPr>
        <w:tc>
          <w:tcPr>
            <w:tcW w:w="1101" w:type="dxa"/>
          </w:tcPr>
          <w:p w:rsidR="004E2D00" w:rsidRPr="00AC590C" w:rsidRDefault="004E2D00" w:rsidP="00457A47">
            <w:pPr>
              <w:spacing w:line="300" w:lineRule="atLeast"/>
              <w:jc w:val="center"/>
              <w:rPr>
                <w:szCs w:val="24"/>
              </w:rPr>
            </w:pPr>
            <w:r w:rsidRPr="00AC590C">
              <w:rPr>
                <w:szCs w:val="24"/>
              </w:rPr>
              <w:t>Eil. Nr.</w:t>
            </w:r>
          </w:p>
        </w:tc>
        <w:tc>
          <w:tcPr>
            <w:tcW w:w="3827" w:type="dxa"/>
          </w:tcPr>
          <w:p w:rsidR="004E2D00" w:rsidRPr="00AC590C" w:rsidRDefault="004E2D00" w:rsidP="00457A47">
            <w:pPr>
              <w:spacing w:line="300" w:lineRule="atLeast"/>
              <w:jc w:val="center"/>
              <w:rPr>
                <w:szCs w:val="24"/>
              </w:rPr>
            </w:pPr>
            <w:r w:rsidRPr="00AC590C">
              <w:rPr>
                <w:szCs w:val="24"/>
              </w:rPr>
              <w:t>Žaliavos, kūro rušies arba medžiagos pavadinimas</w:t>
            </w:r>
          </w:p>
        </w:tc>
        <w:tc>
          <w:tcPr>
            <w:tcW w:w="2551" w:type="dxa"/>
          </w:tcPr>
          <w:p w:rsidR="004E2D00" w:rsidRPr="00AC590C" w:rsidRDefault="004E2D00" w:rsidP="00457A47">
            <w:pPr>
              <w:spacing w:line="300" w:lineRule="atLeast"/>
              <w:jc w:val="center"/>
              <w:rPr>
                <w:szCs w:val="24"/>
              </w:rPr>
            </w:pPr>
            <w:r w:rsidRPr="00AC590C">
              <w:rPr>
                <w:szCs w:val="24"/>
              </w:rPr>
              <w:t>Planuojamas naudoti kiekis, matavimo vnt. (t, m</w:t>
            </w:r>
            <w:r w:rsidRPr="00AC590C">
              <w:rPr>
                <w:szCs w:val="24"/>
                <w:vertAlign w:val="superscript"/>
              </w:rPr>
              <w:t>3</w:t>
            </w:r>
            <w:r w:rsidRPr="00AC590C">
              <w:rPr>
                <w:szCs w:val="24"/>
              </w:rPr>
              <w:t>, ar kt. per metus)</w:t>
            </w:r>
          </w:p>
        </w:tc>
        <w:tc>
          <w:tcPr>
            <w:tcW w:w="5697" w:type="dxa"/>
          </w:tcPr>
          <w:p w:rsidR="004E2D00" w:rsidRPr="00AC590C" w:rsidRDefault="004E2D00" w:rsidP="00457A47">
            <w:pPr>
              <w:spacing w:line="300" w:lineRule="atLeast"/>
              <w:jc w:val="center"/>
              <w:rPr>
                <w:szCs w:val="24"/>
              </w:rPr>
            </w:pPr>
            <w:r w:rsidRPr="00AC590C">
              <w:rPr>
                <w:szCs w:val="24"/>
              </w:rPr>
              <w:t>Kiekis, vienu metu saugomas vietoje, (t, m</w:t>
            </w:r>
            <w:r w:rsidRPr="00AC590C">
              <w:rPr>
                <w:szCs w:val="24"/>
                <w:vertAlign w:val="superscript"/>
              </w:rPr>
              <w:t>3</w:t>
            </w:r>
            <w:r w:rsidRPr="00AC590C">
              <w:rPr>
                <w:szCs w:val="24"/>
              </w:rPr>
              <w:t>, ar kt. per metus), saugojimo būdas (atvira aikštelė ar talpyklos, uždarytos talpyklos ar uždengta aikštelė ir pan.)</w:t>
            </w:r>
          </w:p>
        </w:tc>
      </w:tr>
      <w:tr w:rsidR="004E2D00" w:rsidRPr="00AC590C" w:rsidTr="00457A47">
        <w:trPr>
          <w:jc w:val="center"/>
        </w:trPr>
        <w:tc>
          <w:tcPr>
            <w:tcW w:w="1101" w:type="dxa"/>
          </w:tcPr>
          <w:p w:rsidR="004E2D00" w:rsidRPr="00AC590C" w:rsidRDefault="004E2D00" w:rsidP="00457A47">
            <w:pPr>
              <w:spacing w:line="300" w:lineRule="atLeast"/>
              <w:jc w:val="center"/>
              <w:rPr>
                <w:szCs w:val="24"/>
              </w:rPr>
            </w:pPr>
            <w:r w:rsidRPr="00AC590C">
              <w:rPr>
                <w:szCs w:val="24"/>
              </w:rPr>
              <w:t>1</w:t>
            </w:r>
          </w:p>
        </w:tc>
        <w:tc>
          <w:tcPr>
            <w:tcW w:w="3827" w:type="dxa"/>
          </w:tcPr>
          <w:p w:rsidR="004E2D00" w:rsidRPr="00AC590C" w:rsidRDefault="004E2D00" w:rsidP="00457A47">
            <w:pPr>
              <w:spacing w:line="300" w:lineRule="atLeast"/>
              <w:jc w:val="center"/>
              <w:rPr>
                <w:szCs w:val="24"/>
              </w:rPr>
            </w:pPr>
            <w:r w:rsidRPr="00AC590C">
              <w:rPr>
                <w:szCs w:val="24"/>
              </w:rPr>
              <w:t>2</w:t>
            </w:r>
          </w:p>
        </w:tc>
        <w:tc>
          <w:tcPr>
            <w:tcW w:w="2551" w:type="dxa"/>
          </w:tcPr>
          <w:p w:rsidR="004E2D00" w:rsidRPr="00AC590C" w:rsidRDefault="004E2D00" w:rsidP="00457A47">
            <w:pPr>
              <w:spacing w:line="300" w:lineRule="atLeast"/>
              <w:jc w:val="center"/>
              <w:rPr>
                <w:szCs w:val="24"/>
              </w:rPr>
            </w:pPr>
            <w:r w:rsidRPr="00AC590C">
              <w:rPr>
                <w:szCs w:val="24"/>
              </w:rPr>
              <w:t>3</w:t>
            </w:r>
          </w:p>
        </w:tc>
        <w:tc>
          <w:tcPr>
            <w:tcW w:w="5697" w:type="dxa"/>
          </w:tcPr>
          <w:p w:rsidR="004E2D00" w:rsidRPr="00AC590C" w:rsidRDefault="004E2D00" w:rsidP="00457A47">
            <w:pPr>
              <w:spacing w:line="300" w:lineRule="atLeast"/>
              <w:jc w:val="center"/>
              <w:rPr>
                <w:szCs w:val="24"/>
              </w:rPr>
            </w:pPr>
            <w:r w:rsidRPr="00AC590C">
              <w:rPr>
                <w:szCs w:val="24"/>
              </w:rPr>
              <w:t>4</w:t>
            </w:r>
          </w:p>
        </w:tc>
      </w:tr>
      <w:tr w:rsidR="004E2D00" w:rsidRPr="00AC590C" w:rsidTr="00457A47">
        <w:trPr>
          <w:jc w:val="center"/>
        </w:trPr>
        <w:tc>
          <w:tcPr>
            <w:tcW w:w="1101" w:type="dxa"/>
          </w:tcPr>
          <w:p w:rsidR="004E2D00" w:rsidRPr="00AC590C" w:rsidRDefault="004E2D00" w:rsidP="00457A47">
            <w:pPr>
              <w:spacing w:line="300" w:lineRule="atLeast"/>
              <w:jc w:val="center"/>
              <w:rPr>
                <w:szCs w:val="24"/>
              </w:rPr>
            </w:pPr>
            <w:r w:rsidRPr="00AC590C">
              <w:rPr>
                <w:szCs w:val="24"/>
              </w:rPr>
              <w:t>2</w:t>
            </w:r>
          </w:p>
        </w:tc>
        <w:tc>
          <w:tcPr>
            <w:tcW w:w="3827" w:type="dxa"/>
          </w:tcPr>
          <w:p w:rsidR="004E2D00" w:rsidRPr="00AC590C" w:rsidRDefault="004E2D00" w:rsidP="00457A47">
            <w:pPr>
              <w:spacing w:line="300" w:lineRule="atLeast"/>
              <w:jc w:val="center"/>
              <w:rPr>
                <w:szCs w:val="24"/>
              </w:rPr>
            </w:pPr>
            <w:r w:rsidRPr="00AC590C">
              <w:rPr>
                <w:szCs w:val="24"/>
              </w:rPr>
              <w:t>Vinys</w:t>
            </w:r>
          </w:p>
        </w:tc>
        <w:tc>
          <w:tcPr>
            <w:tcW w:w="2551" w:type="dxa"/>
          </w:tcPr>
          <w:p w:rsidR="004E2D00" w:rsidRPr="00AC590C" w:rsidRDefault="004E2D00" w:rsidP="00457A47">
            <w:pPr>
              <w:spacing w:line="300" w:lineRule="atLeast"/>
              <w:jc w:val="center"/>
              <w:rPr>
                <w:szCs w:val="24"/>
              </w:rPr>
            </w:pPr>
            <w:r w:rsidRPr="00AC590C">
              <w:rPr>
                <w:szCs w:val="24"/>
              </w:rPr>
              <w:t>18 t</w:t>
            </w:r>
          </w:p>
        </w:tc>
        <w:tc>
          <w:tcPr>
            <w:tcW w:w="5697" w:type="dxa"/>
          </w:tcPr>
          <w:p w:rsidR="004E2D00" w:rsidRPr="00AC590C" w:rsidRDefault="00457A47" w:rsidP="00457A47">
            <w:pPr>
              <w:spacing w:line="300" w:lineRule="atLeast"/>
              <w:jc w:val="center"/>
              <w:rPr>
                <w:szCs w:val="24"/>
              </w:rPr>
            </w:pPr>
            <w:r w:rsidRPr="00AC590C">
              <w:rPr>
                <w:szCs w:val="24"/>
              </w:rPr>
              <w:t>3 t (sandėlyje)</w:t>
            </w:r>
          </w:p>
        </w:tc>
      </w:tr>
      <w:tr w:rsidR="00457A47" w:rsidRPr="004E2D00" w:rsidTr="00457A47">
        <w:trPr>
          <w:jc w:val="center"/>
        </w:trPr>
        <w:tc>
          <w:tcPr>
            <w:tcW w:w="1101" w:type="dxa"/>
          </w:tcPr>
          <w:p w:rsidR="00457A47" w:rsidRPr="00AC590C" w:rsidRDefault="00457A47" w:rsidP="00457A47">
            <w:pPr>
              <w:spacing w:line="300" w:lineRule="atLeast"/>
              <w:jc w:val="center"/>
              <w:rPr>
                <w:szCs w:val="24"/>
              </w:rPr>
            </w:pPr>
            <w:r w:rsidRPr="00AC590C">
              <w:rPr>
                <w:szCs w:val="24"/>
              </w:rPr>
              <w:t>3</w:t>
            </w:r>
          </w:p>
        </w:tc>
        <w:tc>
          <w:tcPr>
            <w:tcW w:w="3827" w:type="dxa"/>
          </w:tcPr>
          <w:p w:rsidR="00457A47" w:rsidRPr="00AC590C" w:rsidRDefault="00457A47" w:rsidP="00457A47">
            <w:pPr>
              <w:spacing w:line="300" w:lineRule="atLeast"/>
              <w:jc w:val="center"/>
              <w:rPr>
                <w:szCs w:val="24"/>
              </w:rPr>
            </w:pPr>
            <w:r w:rsidRPr="00AC590C">
              <w:rPr>
                <w:szCs w:val="24"/>
              </w:rPr>
              <w:t>Lentos</w:t>
            </w:r>
          </w:p>
        </w:tc>
        <w:tc>
          <w:tcPr>
            <w:tcW w:w="2551" w:type="dxa"/>
          </w:tcPr>
          <w:p w:rsidR="00457A47" w:rsidRPr="00AC590C" w:rsidRDefault="00AC590C" w:rsidP="00457A47">
            <w:pPr>
              <w:spacing w:line="300" w:lineRule="atLeast"/>
              <w:jc w:val="center"/>
              <w:rPr>
                <w:szCs w:val="24"/>
              </w:rPr>
            </w:pPr>
            <w:r>
              <w:rPr>
                <w:szCs w:val="24"/>
              </w:rPr>
              <w:t>30</w:t>
            </w:r>
            <w:r w:rsidR="00457A47" w:rsidRPr="00AC590C">
              <w:rPr>
                <w:szCs w:val="24"/>
              </w:rPr>
              <w:t xml:space="preserve"> t</w:t>
            </w:r>
          </w:p>
        </w:tc>
        <w:tc>
          <w:tcPr>
            <w:tcW w:w="5697" w:type="dxa"/>
          </w:tcPr>
          <w:p w:rsidR="00457A47" w:rsidRPr="00AC590C" w:rsidRDefault="00AC590C" w:rsidP="00457A47">
            <w:pPr>
              <w:spacing w:line="300" w:lineRule="atLeast"/>
              <w:jc w:val="center"/>
              <w:rPr>
                <w:szCs w:val="24"/>
              </w:rPr>
            </w:pPr>
            <w:r>
              <w:rPr>
                <w:szCs w:val="24"/>
              </w:rPr>
              <w:t>6</w:t>
            </w:r>
            <w:r w:rsidR="00457A47" w:rsidRPr="00AC590C">
              <w:rPr>
                <w:szCs w:val="24"/>
              </w:rPr>
              <w:t xml:space="preserve"> t (sandėlyje)</w:t>
            </w:r>
          </w:p>
        </w:tc>
      </w:tr>
    </w:tbl>
    <w:p w:rsidR="004E2D00" w:rsidRDefault="004E2D00" w:rsidP="0096070B">
      <w:pPr>
        <w:spacing w:line="300" w:lineRule="atLeast"/>
        <w:jc w:val="both"/>
        <w:rPr>
          <w:b/>
          <w:szCs w:val="24"/>
        </w:rPr>
      </w:pPr>
    </w:p>
    <w:p w:rsidR="000A12B7" w:rsidRDefault="000A12B7" w:rsidP="000A12B7">
      <w:pPr>
        <w:rPr>
          <w:sz w:val="18"/>
          <w:szCs w:val="18"/>
        </w:rPr>
      </w:pPr>
    </w:p>
    <w:p w:rsidR="000A12B7" w:rsidRDefault="000A12B7" w:rsidP="000A12B7">
      <w:pPr>
        <w:spacing w:line="300" w:lineRule="atLeast"/>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p w:rsidR="000A12B7" w:rsidRPr="009D6A30" w:rsidRDefault="000A12B7" w:rsidP="000A12B7">
      <w:pPr>
        <w:rPr>
          <w:szCs w:val="24"/>
        </w:rPr>
      </w:pPr>
      <w:r w:rsidRPr="009D6A30">
        <w:rPr>
          <w:szCs w:val="24"/>
        </w:rPr>
        <w:t>Į</w:t>
      </w:r>
      <w:r>
        <w:rPr>
          <w:szCs w:val="24"/>
        </w:rPr>
        <w:t>renginio veiklos metu cheminės medžiagos ir mišiniai nėra naudojami, lentelė nėra pildoma.</w:t>
      </w:r>
    </w:p>
    <w:p w:rsidR="000A12B7" w:rsidRDefault="000A12B7" w:rsidP="000A12B7">
      <w:pPr>
        <w:spacing w:line="300" w:lineRule="atLeast"/>
        <w:ind w:firstLine="312"/>
        <w:jc w:val="both"/>
        <w:rPr>
          <w:b/>
          <w:szCs w:val="24"/>
        </w:rPr>
      </w:pPr>
    </w:p>
    <w:p w:rsidR="000A12B7" w:rsidRDefault="000A12B7" w:rsidP="000A12B7">
      <w:pPr>
        <w:rPr>
          <w:sz w:val="18"/>
          <w:szCs w:val="18"/>
        </w:rPr>
      </w:pPr>
    </w:p>
    <w:p w:rsidR="000A12B7" w:rsidRDefault="000A12B7" w:rsidP="000A12B7">
      <w:pPr>
        <w:rPr>
          <w:sz w:val="18"/>
          <w:szCs w:val="18"/>
        </w:rPr>
      </w:pPr>
    </w:p>
    <w:p w:rsidR="009142A4" w:rsidRDefault="009142A4" w:rsidP="000A12B7">
      <w:pPr>
        <w:rPr>
          <w:sz w:val="18"/>
          <w:szCs w:val="18"/>
        </w:rPr>
      </w:pPr>
    </w:p>
    <w:p w:rsidR="009142A4" w:rsidRDefault="009142A4" w:rsidP="000A12B7">
      <w:pPr>
        <w:rPr>
          <w:sz w:val="18"/>
          <w:szCs w:val="18"/>
        </w:rPr>
      </w:pPr>
    </w:p>
    <w:p w:rsidR="00FD7711" w:rsidRDefault="00FD7711" w:rsidP="000A12B7">
      <w:pPr>
        <w:rPr>
          <w:sz w:val="18"/>
          <w:szCs w:val="18"/>
        </w:rPr>
      </w:pPr>
    </w:p>
    <w:p w:rsidR="00FD7711" w:rsidRDefault="00FD7711" w:rsidP="000A12B7">
      <w:pPr>
        <w:rPr>
          <w:sz w:val="18"/>
          <w:szCs w:val="18"/>
        </w:rPr>
      </w:pPr>
    </w:p>
    <w:p w:rsidR="00FD7711" w:rsidRDefault="00FD7711" w:rsidP="000A12B7">
      <w:pPr>
        <w:rPr>
          <w:sz w:val="18"/>
          <w:szCs w:val="18"/>
        </w:rPr>
      </w:pPr>
    </w:p>
    <w:p w:rsidR="009142A4" w:rsidRDefault="009142A4" w:rsidP="000A12B7">
      <w:pPr>
        <w:rPr>
          <w:sz w:val="18"/>
          <w:szCs w:val="18"/>
        </w:rPr>
      </w:pPr>
    </w:p>
    <w:p w:rsidR="000A12B7" w:rsidRDefault="000A12B7" w:rsidP="000A12B7">
      <w:pPr>
        <w:tabs>
          <w:tab w:val="left" w:pos="9781"/>
        </w:tabs>
        <w:spacing w:line="300" w:lineRule="atLeast"/>
        <w:ind w:left="284"/>
        <w:rPr>
          <w:rFonts w:eastAsia="Calibri"/>
          <w:szCs w:val="24"/>
        </w:rPr>
      </w:pPr>
    </w:p>
    <w:p w:rsidR="000A12B7" w:rsidRDefault="000A12B7" w:rsidP="000A12B7">
      <w:pPr>
        <w:tabs>
          <w:tab w:val="left" w:pos="9781"/>
        </w:tabs>
        <w:spacing w:line="300" w:lineRule="atLeast"/>
        <w:ind w:left="284"/>
        <w:jc w:val="center"/>
      </w:pPr>
      <w:r>
        <w:rPr>
          <w:rFonts w:eastAsia="Calibri"/>
          <w:b/>
          <w:szCs w:val="24"/>
        </w:rPr>
        <w:lastRenderedPageBreak/>
        <w:t>PARAIŠKOS PRIEDAI, KITA PAGAL TAISYKLES REIKALAUJAMA INFORMACIJA IR DUOMENYS</w:t>
      </w:r>
    </w:p>
    <w:p w:rsidR="00840FCD" w:rsidRDefault="00840FCD"/>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 Paraiška Taršos leidimui pakeisti</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 Bendroji paraiškos dalis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3. Atliekų tvarkymo veiklos nutraukimo planas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4. Atliekų naudojimo ir šalinimo techninis reglamentas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5. </w:t>
      </w:r>
      <w:r w:rsidRPr="001B169A">
        <w:rPr>
          <w:rFonts w:eastAsia="Calibri"/>
          <w:szCs w:val="24"/>
          <w:lang w:eastAsia="lt-LT"/>
        </w:rPr>
        <w:t>Arčiausiai įrenginio esančių požeminių vandens gręžinių ir saugomų teritorijų žemėlapis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6. </w:t>
      </w:r>
      <w:r w:rsidRPr="0072466E">
        <w:rPr>
          <w:rFonts w:eastAsia="Calibri"/>
          <w:szCs w:val="24"/>
          <w:lang w:eastAsia="lt-LT"/>
        </w:rPr>
        <w:t>Aplinkos garso lygio matavimo protokolas su priedu</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7. </w:t>
      </w:r>
      <w:r w:rsidRPr="0072466E">
        <w:rPr>
          <w:rFonts w:eastAsia="Calibri"/>
          <w:szCs w:val="24"/>
          <w:lang w:eastAsia="lt-LT"/>
        </w:rPr>
        <w:t>Negyvenamųjų patalpų nuomos sutartis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8. </w:t>
      </w:r>
      <w:r w:rsidR="00FD7711">
        <w:rPr>
          <w:rFonts w:eastAsia="Calibri"/>
          <w:szCs w:val="24"/>
          <w:lang w:eastAsia="lt-LT"/>
        </w:rPr>
        <w:t xml:space="preserve">Sutartis dėl medienos </w:t>
      </w:r>
      <w:r w:rsidRPr="0072466E">
        <w:rPr>
          <w:rFonts w:eastAsia="Calibri"/>
          <w:szCs w:val="24"/>
          <w:lang w:eastAsia="lt-LT"/>
        </w:rPr>
        <w:t>atliekų perdirbimo</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9. </w:t>
      </w:r>
      <w:r w:rsidRPr="0072466E">
        <w:rPr>
          <w:rFonts w:eastAsia="Calibri"/>
          <w:szCs w:val="24"/>
          <w:lang w:eastAsia="lt-LT"/>
        </w:rPr>
        <w:t>Svėrimo paslaugų teikimo sutartis</w:t>
      </w:r>
    </w:p>
    <w:p w:rsidR="00EB010A" w:rsidRDefault="00EB010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10.</w:t>
      </w:r>
      <w:r w:rsidRPr="001B169A">
        <w:rPr>
          <w:rFonts w:eastAsia="Calibri"/>
          <w:szCs w:val="24"/>
          <w:lang w:eastAsia="lt-LT"/>
        </w:rPr>
        <w:t xml:space="preserve"> </w:t>
      </w:r>
      <w:r w:rsidRPr="0072466E">
        <w:rPr>
          <w:rFonts w:eastAsia="Calibri"/>
          <w:szCs w:val="24"/>
          <w:lang w:eastAsia="lt-LT"/>
        </w:rPr>
        <w:t>Svarstyklių meteorologinės patikros sertifikatas</w:t>
      </w:r>
    </w:p>
    <w:p w:rsidR="004E2D00" w:rsidRDefault="004E2D00"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11. Atliekų sutvarkymo įkainiai</w:t>
      </w:r>
    </w:p>
    <w:p w:rsidR="00530CAA" w:rsidRPr="00530CAA" w:rsidRDefault="00530CAA" w:rsidP="00EB0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12. Mokėjimo nurodymas.</w:t>
      </w:r>
    </w:p>
    <w:p w:rsidR="00384B6E" w:rsidRDefault="00384B6E"/>
    <w:sectPr w:rsidR="00384B6E" w:rsidSect="000A12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B7"/>
    <w:rsid w:val="000A12B7"/>
    <w:rsid w:val="000D5B54"/>
    <w:rsid w:val="002C7F32"/>
    <w:rsid w:val="00384B6E"/>
    <w:rsid w:val="00457A47"/>
    <w:rsid w:val="004E2D00"/>
    <w:rsid w:val="00530CAA"/>
    <w:rsid w:val="00582B71"/>
    <w:rsid w:val="00751734"/>
    <w:rsid w:val="00840FCD"/>
    <w:rsid w:val="009142A4"/>
    <w:rsid w:val="0096070B"/>
    <w:rsid w:val="00970043"/>
    <w:rsid w:val="00995BEE"/>
    <w:rsid w:val="009F2031"/>
    <w:rsid w:val="00AC1446"/>
    <w:rsid w:val="00AC590C"/>
    <w:rsid w:val="00B4628B"/>
    <w:rsid w:val="00B777C9"/>
    <w:rsid w:val="00D57E78"/>
    <w:rsid w:val="00EB010A"/>
    <w:rsid w:val="00FD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69DE"/>
  <w15:docId w15:val="{2F68D619-2EF9-428F-BA53-5861BC1D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B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32"/>
    <w:rPr>
      <w:color w:val="0563C1" w:themeColor="hyperlink"/>
      <w:u w:val="single"/>
    </w:rPr>
  </w:style>
  <w:style w:type="paragraph" w:styleId="BalloonText">
    <w:name w:val="Balloon Text"/>
    <w:basedOn w:val="Normal"/>
    <w:link w:val="BalloonTextChar"/>
    <w:uiPriority w:val="99"/>
    <w:semiHidden/>
    <w:unhideWhenUsed/>
    <w:rsid w:val="00970043"/>
    <w:rPr>
      <w:rFonts w:ascii="Tahoma" w:hAnsi="Tahoma" w:cs="Tahoma"/>
      <w:sz w:val="16"/>
      <w:szCs w:val="16"/>
    </w:rPr>
  </w:style>
  <w:style w:type="character" w:customStyle="1" w:styleId="BalloonTextChar">
    <w:name w:val="Balloon Text Char"/>
    <w:basedOn w:val="DefaultParagraphFont"/>
    <w:link w:val="BalloonText"/>
    <w:uiPriority w:val="99"/>
    <w:semiHidden/>
    <w:rsid w:val="00970043"/>
    <w:rPr>
      <w:rFonts w:ascii="Tahoma" w:eastAsia="Times New Roman" w:hAnsi="Tahoma" w:cs="Tahoma"/>
      <w:sz w:val="16"/>
      <w:szCs w:val="16"/>
      <w:lang w:val="lt-LT"/>
    </w:rPr>
  </w:style>
  <w:style w:type="table" w:styleId="TableGrid">
    <w:name w:val="Table Grid"/>
    <w:basedOn w:val="TableNormal"/>
    <w:uiPriority w:val="39"/>
    <w:rsid w:val="004E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609">
      <w:bodyDiv w:val="1"/>
      <w:marLeft w:val="0"/>
      <w:marRight w:val="0"/>
      <w:marTop w:val="0"/>
      <w:marBottom w:val="0"/>
      <w:divBdr>
        <w:top w:val="none" w:sz="0" w:space="0" w:color="auto"/>
        <w:left w:val="none" w:sz="0" w:space="0" w:color="auto"/>
        <w:bottom w:val="none" w:sz="0" w:space="0" w:color="auto"/>
        <w:right w:val="none" w:sz="0" w:space="0" w:color="auto"/>
      </w:divBdr>
      <w:divsChild>
        <w:div w:id="733623159">
          <w:marLeft w:val="0"/>
          <w:marRight w:val="0"/>
          <w:marTop w:val="0"/>
          <w:marBottom w:val="0"/>
          <w:divBdr>
            <w:top w:val="none" w:sz="0" w:space="0" w:color="auto"/>
            <w:left w:val="none" w:sz="0" w:space="0" w:color="auto"/>
            <w:bottom w:val="none" w:sz="0" w:space="0" w:color="auto"/>
            <w:right w:val="none" w:sz="0" w:space="0" w:color="auto"/>
          </w:divBdr>
        </w:div>
        <w:div w:id="201768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ksandr.kondrackas@kron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2018-03-12T09:09:00Z</cp:lastPrinted>
  <dcterms:created xsi:type="dcterms:W3CDTF">2018-03-12T09:10:00Z</dcterms:created>
  <dcterms:modified xsi:type="dcterms:W3CDTF">2018-03-12T09:10:00Z</dcterms:modified>
</cp:coreProperties>
</file>